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4A" w:rsidRPr="000E184A" w:rsidRDefault="000E184A" w:rsidP="000E184A">
      <w:pPr>
        <w:spacing w:after="40" w:line="248" w:lineRule="auto"/>
        <w:ind w:left="16" w:right="31" w:firstLine="707"/>
        <w:jc w:val="center"/>
        <w:rPr>
          <w:b/>
          <w:sz w:val="24"/>
          <w:lang w:val="ru-RU"/>
        </w:rPr>
      </w:pPr>
      <w:r w:rsidRPr="000E184A">
        <w:rPr>
          <w:b/>
          <w:sz w:val="24"/>
          <w:lang w:val="ru-RU"/>
        </w:rPr>
        <w:t>РЕКОМЕНДАЦИИ К ФОРМИРОВАНИЮ СТОИМОСТИ ОБЪЕКТА В СООТВЕТСТВИИ С ПОЛИТИКОЙ ЦЕНООБРАЗОВАНИЯ</w:t>
      </w:r>
    </w:p>
    <w:p w:rsidR="000E184A" w:rsidRDefault="000E184A">
      <w:pPr>
        <w:spacing w:after="40" w:line="248" w:lineRule="auto"/>
        <w:ind w:left="16" w:right="31" w:firstLine="707"/>
        <w:rPr>
          <w:sz w:val="24"/>
          <w:lang w:val="ru-RU"/>
        </w:rPr>
      </w:pPr>
    </w:p>
    <w:p w:rsidR="00840DD5" w:rsidRPr="00403BF1" w:rsidRDefault="00C15CE2" w:rsidP="00403BF1">
      <w:pPr>
        <w:numPr>
          <w:ilvl w:val="0"/>
          <w:numId w:val="3"/>
        </w:numPr>
        <w:spacing w:after="0" w:line="240" w:lineRule="auto"/>
        <w:ind w:right="31"/>
        <w:rPr>
          <w:lang w:val="ru-RU"/>
        </w:rPr>
      </w:pPr>
      <w:r w:rsidRPr="000E184A">
        <w:rPr>
          <w:lang w:val="ru-RU"/>
        </w:rPr>
        <w:t xml:space="preserve">Сметы </w:t>
      </w:r>
      <w:r w:rsidR="00D904D8">
        <w:rPr>
          <w:lang w:val="ru-RU"/>
        </w:rPr>
        <w:t>необходимо</w:t>
      </w:r>
      <w:r w:rsidRPr="000E184A">
        <w:rPr>
          <w:lang w:val="ru-RU"/>
        </w:rPr>
        <w:t xml:space="preserve"> составлять в </w:t>
      </w:r>
      <w:r w:rsidR="007B4161">
        <w:rPr>
          <w:lang w:val="ru-RU"/>
        </w:rPr>
        <w:t xml:space="preserve">базе </w:t>
      </w:r>
      <w:r w:rsidR="00D904D8">
        <w:rPr>
          <w:lang w:val="ru-RU"/>
        </w:rPr>
        <w:t>Ф</w:t>
      </w:r>
      <w:r w:rsidR="007B4161">
        <w:rPr>
          <w:lang w:val="ru-RU"/>
        </w:rPr>
        <w:t>ЕР 2001 (</w:t>
      </w:r>
      <w:r w:rsidR="00754F0F">
        <w:rPr>
          <w:lang w:val="ru-RU"/>
        </w:rPr>
        <w:t xml:space="preserve">актуальная </w:t>
      </w:r>
      <w:r w:rsidR="007B4161">
        <w:rPr>
          <w:lang w:val="ru-RU"/>
        </w:rPr>
        <w:t>редакция 20</w:t>
      </w:r>
      <w:r w:rsidR="00D904D8">
        <w:rPr>
          <w:lang w:val="ru-RU"/>
        </w:rPr>
        <w:t>20</w:t>
      </w:r>
      <w:r w:rsidR="007B4161">
        <w:rPr>
          <w:lang w:val="ru-RU"/>
        </w:rPr>
        <w:t xml:space="preserve">г.) </w:t>
      </w:r>
      <w:r w:rsidRPr="000E184A">
        <w:rPr>
          <w:lang w:val="ru-RU"/>
        </w:rPr>
        <w:t>в программном комплексе «Гранд-смета»</w:t>
      </w:r>
      <w:r w:rsidR="00403BF1">
        <w:rPr>
          <w:lang w:val="ru-RU"/>
        </w:rPr>
        <w:t xml:space="preserve"> руководствуясь </w:t>
      </w:r>
      <w:r w:rsidR="00403BF1" w:rsidRPr="00403BF1">
        <w:rPr>
          <w:lang w:val="ru-RU"/>
        </w:rPr>
        <w:t>П</w:t>
      </w:r>
      <w:r w:rsidR="00403BF1">
        <w:rPr>
          <w:lang w:val="ru-RU"/>
        </w:rPr>
        <w:t xml:space="preserve">риказом Минстроя РФ </w:t>
      </w:r>
      <w:r w:rsidR="00403BF1" w:rsidRPr="00403BF1">
        <w:rPr>
          <w:lang w:val="ru-RU"/>
        </w:rPr>
        <w:t>от 4 августа 2020 г. N 421/пр</w:t>
      </w:r>
      <w:r w:rsidRPr="00403BF1">
        <w:rPr>
          <w:lang w:val="ru-RU"/>
        </w:rPr>
        <w:t>.</w:t>
      </w:r>
      <w:r w:rsidR="002D4AC0" w:rsidRPr="00C02D01">
        <w:rPr>
          <w:noProof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1" name="Picture 3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90" w:rsidRDefault="00864926" w:rsidP="00046B98">
      <w:pPr>
        <w:numPr>
          <w:ilvl w:val="0"/>
          <w:numId w:val="3"/>
        </w:numPr>
        <w:spacing w:after="0" w:line="240" w:lineRule="auto"/>
        <w:ind w:right="31"/>
        <w:rPr>
          <w:lang w:val="ru-RU"/>
        </w:rPr>
      </w:pPr>
      <w:r w:rsidRPr="003C4F90">
        <w:rPr>
          <w:lang w:val="ru-RU"/>
        </w:rPr>
        <w:t>Индексы перехода в текущие цены должны быть не выше</w:t>
      </w:r>
      <w:r w:rsidR="00403BF1">
        <w:rPr>
          <w:lang w:val="ru-RU"/>
        </w:rPr>
        <w:t xml:space="preserve"> разработанных </w:t>
      </w:r>
      <w:r w:rsidR="00403BF1">
        <w:rPr>
          <w:lang w:val="ru-RU" w:eastAsia="ru-RU" w:bidi="ru-RU"/>
        </w:rPr>
        <w:t>ООО «</w:t>
      </w:r>
      <w:proofErr w:type="spellStart"/>
      <w:r w:rsidR="00403BF1">
        <w:rPr>
          <w:lang w:val="ru-RU" w:eastAsia="ru-RU" w:bidi="ru-RU"/>
        </w:rPr>
        <w:t>Стройинформресурс</w:t>
      </w:r>
      <w:proofErr w:type="spellEnd"/>
      <w:r w:rsidR="00403BF1">
        <w:rPr>
          <w:lang w:val="ru-RU" w:eastAsia="ru-RU" w:bidi="ru-RU"/>
        </w:rPr>
        <w:t xml:space="preserve">» для </w:t>
      </w:r>
      <w:r w:rsidRPr="003C4F90">
        <w:rPr>
          <w:lang w:val="ru-RU"/>
        </w:rPr>
        <w:t>Оренбургской области</w:t>
      </w:r>
      <w:r w:rsidR="00341E3E">
        <w:rPr>
          <w:lang w:val="ru-RU"/>
        </w:rPr>
        <w:t xml:space="preserve"> на начало текущего квартала</w:t>
      </w:r>
      <w:r w:rsidR="00A21A7E">
        <w:rPr>
          <w:lang w:val="ru-RU"/>
        </w:rPr>
        <w:t xml:space="preserve"> </w:t>
      </w:r>
      <w:r w:rsidR="00341E3E">
        <w:rPr>
          <w:lang w:val="ru-RU"/>
        </w:rPr>
        <w:t>(январь, апрель, июль, октябрь)</w:t>
      </w:r>
      <w:r w:rsidRPr="003C4F90">
        <w:rPr>
          <w:lang w:val="ru-RU"/>
        </w:rPr>
        <w:t xml:space="preserve">. </w:t>
      </w:r>
    </w:p>
    <w:p w:rsidR="007856F5" w:rsidRPr="007856F5" w:rsidRDefault="00C15CE2" w:rsidP="007856F5">
      <w:pPr>
        <w:numPr>
          <w:ilvl w:val="0"/>
          <w:numId w:val="3"/>
        </w:numPr>
        <w:spacing w:after="0" w:line="240" w:lineRule="auto"/>
        <w:ind w:left="714" w:hanging="357"/>
        <w:rPr>
          <w:noProof/>
          <w:lang w:val="ru-RU"/>
        </w:rPr>
      </w:pPr>
      <w:r w:rsidRPr="003C4F90">
        <w:rPr>
          <w:lang w:val="ru-RU"/>
        </w:rPr>
        <w:t>Расценки должны максимально соответствовать наименованию и объем</w:t>
      </w:r>
      <w:r w:rsidR="00F57EE6" w:rsidRPr="003C4F90">
        <w:rPr>
          <w:lang w:val="ru-RU"/>
        </w:rPr>
        <w:t xml:space="preserve">у работ по Техническому Заданию, в случае с </w:t>
      </w:r>
      <w:proofErr w:type="spellStart"/>
      <w:r w:rsidR="00F57EE6" w:rsidRPr="003C4F90">
        <w:rPr>
          <w:lang w:val="ru-RU"/>
        </w:rPr>
        <w:t>применительными</w:t>
      </w:r>
      <w:proofErr w:type="spellEnd"/>
      <w:r w:rsidR="00F57EE6" w:rsidRPr="003C4F90">
        <w:rPr>
          <w:lang w:val="ru-RU"/>
        </w:rPr>
        <w:t xml:space="preserve"> расценками наименования расценок не менять, пояснить в скобках к чему относится данная расценка. </w:t>
      </w:r>
      <w:r w:rsidRPr="003C4F90">
        <w:rPr>
          <w:lang w:val="ru-RU"/>
        </w:rPr>
        <w:t>Нормы расхода материалов не должны быть выше сметных норм.</w:t>
      </w:r>
      <w:r w:rsidR="002D4AC0" w:rsidRPr="00C02D01">
        <w:rPr>
          <w:noProof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2" name="Picture 3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94C" w:rsidRPr="003C4F90">
        <w:rPr>
          <w:noProof/>
          <w:lang w:val="ru-RU"/>
        </w:rPr>
        <w:t xml:space="preserve"> Исключить замену и добавление материалов внутри расценок.</w:t>
      </w:r>
      <w:r w:rsidR="007856F5">
        <w:rPr>
          <w:noProof/>
          <w:lang w:val="ru-RU"/>
        </w:rPr>
        <w:t xml:space="preserve"> </w:t>
      </w:r>
      <w:r w:rsidR="007856F5" w:rsidRPr="007856F5">
        <w:rPr>
          <w:noProof/>
          <w:lang w:val="ru-RU"/>
        </w:rPr>
        <w:t>При составлении сметной документации корректировать ресурсный состав сметных расценок, исключив фактически не применяемые ресурсы (материалы, машины и механизмы).</w:t>
      </w:r>
    </w:p>
    <w:p w:rsidR="00840DD5" w:rsidRPr="0014035D" w:rsidRDefault="00C15CE2" w:rsidP="00864926">
      <w:pPr>
        <w:numPr>
          <w:ilvl w:val="0"/>
          <w:numId w:val="3"/>
        </w:numPr>
        <w:spacing w:after="0" w:line="240" w:lineRule="auto"/>
        <w:ind w:right="31"/>
        <w:rPr>
          <w:lang w:val="ru-RU"/>
        </w:rPr>
      </w:pPr>
      <w:r w:rsidRPr="000E184A">
        <w:rPr>
          <w:lang w:val="ru-RU"/>
        </w:rPr>
        <w:t xml:space="preserve">Материалы подрядчика должны быть учтены в смете в соответствии с разделительной ведомостью поставки. Для начисления лимитированных затрат не </w:t>
      </w:r>
      <w:r w:rsidRPr="0014035D">
        <w:rPr>
          <w:lang w:val="ru-RU"/>
        </w:rPr>
        <w:t>следует использовать в сметах стоимость давальческих материалов</w:t>
      </w:r>
      <w:r w:rsidR="009F7049" w:rsidRPr="0014035D">
        <w:rPr>
          <w:lang w:val="ru-RU"/>
        </w:rPr>
        <w:t>.</w:t>
      </w:r>
    </w:p>
    <w:p w:rsidR="00840DD5" w:rsidRPr="0014035D" w:rsidRDefault="002D4AC0" w:rsidP="00864926">
      <w:pPr>
        <w:numPr>
          <w:ilvl w:val="0"/>
          <w:numId w:val="3"/>
        </w:numPr>
        <w:spacing w:after="0" w:line="240" w:lineRule="auto"/>
        <w:ind w:right="31"/>
        <w:rPr>
          <w:lang w:val="ru-RU"/>
        </w:rPr>
      </w:pPr>
      <w:r w:rsidRPr="0014035D"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6980555</wp:posOffset>
            </wp:positionH>
            <wp:positionV relativeFrom="page">
              <wp:posOffset>917575</wp:posOffset>
            </wp:positionV>
            <wp:extent cx="6350" cy="6350"/>
            <wp:effectExtent l="0" t="0" r="0" b="0"/>
            <wp:wrapSquare wrapText="bothSides"/>
            <wp:docPr id="8" name="Picture 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26" w:rsidRPr="0014035D">
        <w:rPr>
          <w:noProof/>
          <w:lang w:val="ru-RU"/>
        </w:rPr>
        <w:t xml:space="preserve"> </w:t>
      </w:r>
      <w:r w:rsidR="00230796" w:rsidRPr="0014035D">
        <w:rPr>
          <w:noProof/>
          <w:lang w:val="ru-RU"/>
        </w:rPr>
        <w:t>С</w:t>
      </w:r>
      <w:r w:rsidR="004743E7" w:rsidRPr="0014035D">
        <w:rPr>
          <w:noProof/>
          <w:lang w:val="ru-RU"/>
        </w:rPr>
        <w:t xml:space="preserve">тоимость материалов учитывать по прайс-листам только при их отсутствии в </w:t>
      </w:r>
      <w:r w:rsidR="00A21A7E" w:rsidRPr="0014035D">
        <w:rPr>
          <w:noProof/>
          <w:lang w:val="ru-RU"/>
        </w:rPr>
        <w:t>Ф</w:t>
      </w:r>
      <w:r w:rsidR="004743E7" w:rsidRPr="0014035D">
        <w:rPr>
          <w:noProof/>
          <w:lang w:val="ru-RU"/>
        </w:rPr>
        <w:t>ССЦ</w:t>
      </w:r>
      <w:r w:rsidR="00A21A7E" w:rsidRPr="0014035D">
        <w:rPr>
          <w:noProof/>
          <w:lang w:val="ru-RU"/>
        </w:rPr>
        <w:t>. М</w:t>
      </w:r>
      <w:r w:rsidR="009F7049" w:rsidRPr="0014035D">
        <w:rPr>
          <w:noProof/>
          <w:lang w:val="ru-RU"/>
        </w:rPr>
        <w:t>атериал</w:t>
      </w:r>
      <w:r w:rsidR="00A21A7E" w:rsidRPr="0014035D">
        <w:rPr>
          <w:noProof/>
          <w:lang w:val="ru-RU"/>
        </w:rPr>
        <w:t xml:space="preserve">ы, </w:t>
      </w:r>
      <w:r w:rsidR="00864926" w:rsidRPr="0014035D">
        <w:rPr>
          <w:noProof/>
          <w:lang w:val="ru-RU"/>
        </w:rPr>
        <w:t>у</w:t>
      </w:r>
      <w:r w:rsidR="009F7049" w:rsidRPr="0014035D">
        <w:rPr>
          <w:noProof/>
          <w:lang w:val="ru-RU"/>
        </w:rPr>
        <w:t>чтенны</w:t>
      </w:r>
      <w:r w:rsidR="00A21A7E" w:rsidRPr="0014035D">
        <w:rPr>
          <w:noProof/>
          <w:lang w:val="ru-RU"/>
        </w:rPr>
        <w:t xml:space="preserve">е по </w:t>
      </w:r>
      <w:r w:rsidR="009F7049" w:rsidRPr="0014035D">
        <w:rPr>
          <w:noProof/>
          <w:lang w:val="ru-RU"/>
        </w:rPr>
        <w:t>прайс-лист</w:t>
      </w:r>
      <w:r w:rsidR="00A21A7E" w:rsidRPr="0014035D">
        <w:rPr>
          <w:noProof/>
          <w:lang w:val="ru-RU"/>
        </w:rPr>
        <w:t xml:space="preserve">ам, согласовать с Отделом материально-технического обеспечения Заказчика. </w:t>
      </w:r>
      <w:r w:rsidR="007B4161" w:rsidRPr="0014035D">
        <w:rPr>
          <w:noProof/>
          <w:lang w:val="ru-RU"/>
        </w:rPr>
        <w:t xml:space="preserve">Стоимость  </w:t>
      </w:r>
      <w:bookmarkStart w:id="0" w:name="_GoBack"/>
      <w:bookmarkEnd w:id="0"/>
      <w:r w:rsidR="007B4161" w:rsidRPr="0014035D">
        <w:rPr>
          <w:noProof/>
          <w:lang w:val="ru-RU"/>
        </w:rPr>
        <w:t>материал</w:t>
      </w:r>
      <w:r w:rsidR="00A21A7E" w:rsidRPr="0014035D">
        <w:rPr>
          <w:noProof/>
          <w:lang w:val="ru-RU"/>
        </w:rPr>
        <w:t>ов</w:t>
      </w:r>
      <w:r w:rsidR="007B4161" w:rsidRPr="0014035D">
        <w:rPr>
          <w:noProof/>
          <w:lang w:val="ru-RU"/>
        </w:rPr>
        <w:t>, издели</w:t>
      </w:r>
      <w:r w:rsidR="00A21A7E" w:rsidRPr="0014035D">
        <w:rPr>
          <w:noProof/>
          <w:lang w:val="ru-RU"/>
        </w:rPr>
        <w:t>й</w:t>
      </w:r>
      <w:r w:rsidR="007B4161" w:rsidRPr="0014035D">
        <w:rPr>
          <w:noProof/>
          <w:lang w:val="ru-RU"/>
        </w:rPr>
        <w:t xml:space="preserve"> и оборудовани</w:t>
      </w:r>
      <w:r w:rsidR="00A21A7E" w:rsidRPr="0014035D">
        <w:rPr>
          <w:noProof/>
          <w:lang w:val="ru-RU"/>
        </w:rPr>
        <w:t>я</w:t>
      </w:r>
      <w:r w:rsidR="007B4161" w:rsidRPr="0014035D">
        <w:rPr>
          <w:noProof/>
          <w:lang w:val="ru-RU"/>
        </w:rPr>
        <w:t>, приняты</w:t>
      </w:r>
      <w:r w:rsidR="00A21A7E" w:rsidRPr="0014035D">
        <w:rPr>
          <w:noProof/>
          <w:lang w:val="ru-RU"/>
        </w:rPr>
        <w:t>х</w:t>
      </w:r>
      <w:r w:rsidR="007B4161" w:rsidRPr="0014035D">
        <w:rPr>
          <w:noProof/>
          <w:lang w:val="ru-RU"/>
        </w:rPr>
        <w:t xml:space="preserve"> Подрядчиком по прайс-листам, отнести (настроить  по видам работ) в настройке смет, как оборудование чисто технически, для того, чтобы не начислялись на них лимитированные затраты. Лимитированные затраты начисляются только на стоимость материалов, изделий и конструкций принятую по базовым сметным расценкам (</w:t>
      </w:r>
      <w:r w:rsidR="00A21A7E" w:rsidRPr="0014035D">
        <w:rPr>
          <w:noProof/>
          <w:lang w:val="ru-RU"/>
        </w:rPr>
        <w:t>Ф</w:t>
      </w:r>
      <w:r w:rsidR="007B4161" w:rsidRPr="0014035D">
        <w:rPr>
          <w:noProof/>
          <w:lang w:val="ru-RU"/>
        </w:rPr>
        <w:t>ССЦ).</w:t>
      </w:r>
    </w:p>
    <w:p w:rsidR="00840DD5" w:rsidRPr="0014035D" w:rsidRDefault="00C15CE2" w:rsidP="00864926">
      <w:pPr>
        <w:numPr>
          <w:ilvl w:val="0"/>
          <w:numId w:val="3"/>
        </w:numPr>
        <w:spacing w:after="0" w:line="240" w:lineRule="auto"/>
        <w:ind w:right="31"/>
        <w:rPr>
          <w:lang w:val="ru-RU"/>
        </w:rPr>
      </w:pPr>
      <w:r w:rsidRPr="0014035D">
        <w:rPr>
          <w:lang w:val="ru-RU"/>
        </w:rPr>
        <w:t xml:space="preserve">Если в сметном расчете используются ценники из нормативной базы, </w:t>
      </w:r>
      <w:r w:rsidR="000E184A" w:rsidRPr="0014035D">
        <w:rPr>
          <w:lang w:val="ru-RU"/>
        </w:rPr>
        <w:t>нужно</w:t>
      </w:r>
      <w:r w:rsidRPr="0014035D">
        <w:rPr>
          <w:lang w:val="ru-RU"/>
        </w:rPr>
        <w:t xml:space="preserve"> учесть,</w:t>
      </w:r>
      <w:r w:rsidR="00A21A7E" w:rsidRPr="0014035D">
        <w:rPr>
          <w:lang w:val="ru-RU"/>
        </w:rPr>
        <w:t xml:space="preserve"> что в стоимости материалов по Ф</w:t>
      </w:r>
      <w:r w:rsidRPr="0014035D">
        <w:rPr>
          <w:lang w:val="ru-RU"/>
        </w:rPr>
        <w:t>ССЦ учтены погрузочно</w:t>
      </w:r>
      <w:r w:rsidR="000E184A" w:rsidRPr="0014035D">
        <w:rPr>
          <w:lang w:val="ru-RU"/>
        </w:rPr>
        <w:t>-</w:t>
      </w:r>
      <w:r w:rsidRPr="0014035D">
        <w:rPr>
          <w:lang w:val="ru-RU"/>
        </w:rPr>
        <w:t>разгрузочные работы и транспортная составляющая.</w:t>
      </w:r>
    </w:p>
    <w:p w:rsidR="00840DD5" w:rsidRPr="0014035D" w:rsidRDefault="00C15CE2" w:rsidP="00864926">
      <w:pPr>
        <w:numPr>
          <w:ilvl w:val="0"/>
          <w:numId w:val="3"/>
        </w:numPr>
        <w:spacing w:after="0" w:line="240" w:lineRule="auto"/>
        <w:ind w:right="31"/>
        <w:rPr>
          <w:lang w:val="ru-RU"/>
        </w:rPr>
      </w:pPr>
      <w:r w:rsidRPr="0014035D">
        <w:rPr>
          <w:lang w:val="ru-RU"/>
        </w:rPr>
        <w:t>По учету транспортных затрат на перевозку материалов поставки подрядчика, учтенных в сметно</w:t>
      </w:r>
      <w:r w:rsidR="000E184A" w:rsidRPr="0014035D">
        <w:rPr>
          <w:lang w:val="ru-RU"/>
        </w:rPr>
        <w:t>й</w:t>
      </w:r>
      <w:r w:rsidRPr="0014035D">
        <w:rPr>
          <w:lang w:val="ru-RU"/>
        </w:rPr>
        <w:t xml:space="preserve"> документации по ценникам нормативной базы (</w:t>
      </w:r>
      <w:r w:rsidR="00A21A7E" w:rsidRPr="0014035D">
        <w:rPr>
          <w:lang w:val="ru-RU"/>
        </w:rPr>
        <w:t>Ф</w:t>
      </w:r>
      <w:r w:rsidRPr="0014035D">
        <w:rPr>
          <w:lang w:val="ru-RU"/>
        </w:rPr>
        <w:t xml:space="preserve">ССЦ) следует </w:t>
      </w:r>
      <w:r w:rsidR="00047983" w:rsidRPr="0014035D">
        <w:rPr>
          <w:lang w:val="ru-RU"/>
        </w:rPr>
        <w:t>учитывать за минусом 30км.</w:t>
      </w:r>
      <w:r w:rsidR="00A27068" w:rsidRPr="0014035D">
        <w:rPr>
          <w:lang w:val="ru-RU"/>
        </w:rPr>
        <w:t xml:space="preserve"> Расстояние доставки подтверждается транспортной схемой, согласованной Заказчиком. </w:t>
      </w:r>
    </w:p>
    <w:p w:rsidR="00840DD5" w:rsidRPr="000E184A" w:rsidRDefault="00C15CE2" w:rsidP="00864926">
      <w:pPr>
        <w:numPr>
          <w:ilvl w:val="0"/>
          <w:numId w:val="3"/>
        </w:numPr>
        <w:spacing w:after="0" w:line="240" w:lineRule="auto"/>
        <w:ind w:right="31"/>
        <w:rPr>
          <w:lang w:val="ru-RU"/>
        </w:rPr>
      </w:pPr>
      <w:r w:rsidRPr="0014035D">
        <w:rPr>
          <w:lang w:val="ru-RU"/>
        </w:rPr>
        <w:t xml:space="preserve">Расчеты лимитированных затрат в виде процента от СМР принимаются экспертизой Компании только на временные здания и сооружения (по ГСН 81-05-01-2001) и на зимнее удорожание (по ГСН 81-05-02-2007). </w:t>
      </w:r>
      <w:r w:rsidR="002D4AC0" w:rsidRPr="0014035D">
        <w:rPr>
          <w:noProof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3" name="Picture 4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A7E" w:rsidRPr="0014035D">
        <w:rPr>
          <w:lang w:val="ru-RU"/>
        </w:rPr>
        <w:t xml:space="preserve">Временные здания и сооружения будут закрываться по факту выполненных работ с предоставлением подтверждающих документов. </w:t>
      </w:r>
      <w:r w:rsidRPr="0014035D">
        <w:rPr>
          <w:lang w:val="ru-RU"/>
        </w:rPr>
        <w:t xml:space="preserve">Все остальные затраты, учитываемые подрядчиком в смете за итогом </w:t>
      </w:r>
      <w:r w:rsidR="002D4AC0" w:rsidRPr="0014035D">
        <w:rPr>
          <w:noProof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4" name="Picture 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35D">
        <w:rPr>
          <w:lang w:val="ru-RU"/>
        </w:rPr>
        <w:t>после СМР необходимо представить в виде расчетов в текущих ценах с проставленными</w:t>
      </w:r>
      <w:r w:rsidRPr="000E184A">
        <w:rPr>
          <w:lang w:val="ru-RU"/>
        </w:rPr>
        <w:t xml:space="preserve"> формулами в форматах </w:t>
      </w:r>
      <w:r>
        <w:t>Excel</w:t>
      </w:r>
      <w:r w:rsidRPr="000E184A">
        <w:rPr>
          <w:lang w:val="ru-RU"/>
        </w:rPr>
        <w:t xml:space="preserve">, </w:t>
      </w:r>
      <w:r>
        <w:t>pdf</w:t>
      </w:r>
      <w:r w:rsidRPr="000E184A">
        <w:rPr>
          <w:lang w:val="ru-RU"/>
        </w:rPr>
        <w:t>.</w:t>
      </w:r>
    </w:p>
    <w:p w:rsidR="00754F0F" w:rsidRDefault="00C15CE2" w:rsidP="004C027F">
      <w:pPr>
        <w:numPr>
          <w:ilvl w:val="0"/>
          <w:numId w:val="3"/>
        </w:numPr>
        <w:spacing w:after="0" w:line="240" w:lineRule="auto"/>
        <w:ind w:right="31"/>
        <w:rPr>
          <w:lang w:val="ru-RU"/>
        </w:rPr>
      </w:pPr>
      <w:r w:rsidRPr="00754F0F">
        <w:rPr>
          <w:lang w:val="ru-RU"/>
        </w:rPr>
        <w:t xml:space="preserve">При подготовке коммерческого предложения не следует включать в расчет затраты на непредвиденные расходы. </w:t>
      </w:r>
      <w:r w:rsidR="002D4AC0"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6980555</wp:posOffset>
            </wp:positionH>
            <wp:positionV relativeFrom="page">
              <wp:posOffset>1347470</wp:posOffset>
            </wp:positionV>
            <wp:extent cx="6350" cy="6350"/>
            <wp:effectExtent l="0" t="0" r="0" b="0"/>
            <wp:wrapSquare wrapText="bothSides"/>
            <wp:docPr id="7" name="Picture 4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AC0"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6980555</wp:posOffset>
            </wp:positionH>
            <wp:positionV relativeFrom="page">
              <wp:posOffset>2588895</wp:posOffset>
            </wp:positionV>
            <wp:extent cx="6350" cy="3175"/>
            <wp:effectExtent l="0" t="0" r="0" b="0"/>
            <wp:wrapSquare wrapText="bothSides"/>
            <wp:docPr id="6" name="Picture 4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3E7" w:rsidRPr="00754F0F">
        <w:rPr>
          <w:lang w:val="ru-RU"/>
        </w:rPr>
        <w:t xml:space="preserve"> </w:t>
      </w:r>
    </w:p>
    <w:p w:rsidR="00840DD5" w:rsidRPr="00754F0F" w:rsidRDefault="00754F0F" w:rsidP="004C027F">
      <w:pPr>
        <w:numPr>
          <w:ilvl w:val="0"/>
          <w:numId w:val="3"/>
        </w:numPr>
        <w:spacing w:after="0" w:line="240" w:lineRule="auto"/>
        <w:ind w:right="31"/>
        <w:rPr>
          <w:lang w:val="ru-RU"/>
        </w:rPr>
      </w:pPr>
      <w:r>
        <w:rPr>
          <w:lang w:val="ru-RU"/>
        </w:rPr>
        <w:lastRenderedPageBreak/>
        <w:t xml:space="preserve"> </w:t>
      </w:r>
      <w:r w:rsidR="00C15CE2" w:rsidRPr="00754F0F">
        <w:rPr>
          <w:lang w:val="ru-RU"/>
        </w:rPr>
        <w:t>В связи с тем, что сметы будут обязательно п</w:t>
      </w:r>
      <w:r w:rsidR="00F57EE6" w:rsidRPr="00754F0F">
        <w:rPr>
          <w:lang w:val="ru-RU"/>
        </w:rPr>
        <w:t>роверяться</w:t>
      </w:r>
      <w:r w:rsidR="00C15CE2" w:rsidRPr="00754F0F">
        <w:rPr>
          <w:lang w:val="ru-RU"/>
        </w:rPr>
        <w:t xml:space="preserve"> на соответствие нормативной базе, убедительная просьба не ставить в графу «Обоснование» никакие тексты. Все необходимые комментарии </w:t>
      </w:r>
      <w:r w:rsidR="00F57EE6" w:rsidRPr="00754F0F">
        <w:rPr>
          <w:lang w:val="ru-RU"/>
        </w:rPr>
        <w:t>нужно</w:t>
      </w:r>
      <w:r w:rsidR="00C15CE2" w:rsidRPr="00754F0F">
        <w:rPr>
          <w:lang w:val="ru-RU"/>
        </w:rPr>
        <w:t xml:space="preserve"> заносить в графу «Наименование работ».</w:t>
      </w:r>
      <w:r w:rsidR="002D4AC0" w:rsidRPr="00C02D01">
        <w:rPr>
          <w:noProof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5" name="Picture 4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DD5" w:rsidRPr="0014035D" w:rsidRDefault="00C15CE2" w:rsidP="00864926">
      <w:pPr>
        <w:numPr>
          <w:ilvl w:val="0"/>
          <w:numId w:val="3"/>
        </w:numPr>
        <w:spacing w:after="0" w:line="240" w:lineRule="auto"/>
        <w:ind w:right="28"/>
        <w:rPr>
          <w:lang w:val="ru-RU"/>
        </w:rPr>
      </w:pPr>
      <w:r w:rsidRPr="000E184A">
        <w:rPr>
          <w:lang w:val="ru-RU"/>
        </w:rPr>
        <w:t xml:space="preserve"> Если затраты подрядной организации на перебазировку строительной техники на объект не превышают заложенный лимит этих средств в стоимости машино-часа по </w:t>
      </w:r>
      <w:r w:rsidR="004743E7">
        <w:rPr>
          <w:lang w:val="ru-RU"/>
        </w:rPr>
        <w:t>ценникам</w:t>
      </w:r>
      <w:r w:rsidRPr="000E184A">
        <w:rPr>
          <w:lang w:val="ru-RU"/>
        </w:rPr>
        <w:t xml:space="preserve"> ТСНБ в сметах, отдельно затраты на перебазировку техники </w:t>
      </w:r>
      <w:r w:rsidRPr="0014035D">
        <w:rPr>
          <w:lang w:val="ru-RU"/>
        </w:rPr>
        <w:t>указывать не нужно. Если превышают</w:t>
      </w:r>
      <w:r w:rsidR="004743E7" w:rsidRPr="0014035D">
        <w:rPr>
          <w:lang w:val="ru-RU"/>
        </w:rPr>
        <w:t xml:space="preserve"> – </w:t>
      </w:r>
      <w:r w:rsidRPr="0014035D">
        <w:rPr>
          <w:lang w:val="ru-RU"/>
        </w:rPr>
        <w:t>предоставить расчет перебазировки строительно</w:t>
      </w:r>
      <w:r w:rsidR="004743E7" w:rsidRPr="0014035D">
        <w:rPr>
          <w:lang w:val="ru-RU"/>
        </w:rPr>
        <w:t>й</w:t>
      </w:r>
      <w:r w:rsidRPr="0014035D">
        <w:rPr>
          <w:lang w:val="ru-RU"/>
        </w:rPr>
        <w:t xml:space="preserve"> техники на объект и обратно в текущих ценах в форматах </w:t>
      </w:r>
      <w:r w:rsidRPr="0014035D">
        <w:t>pdf</w:t>
      </w:r>
      <w:r w:rsidRPr="0014035D">
        <w:rPr>
          <w:lang w:val="ru-RU"/>
        </w:rPr>
        <w:t xml:space="preserve"> и </w:t>
      </w:r>
      <w:r w:rsidRPr="0014035D">
        <w:t>Excel</w:t>
      </w:r>
      <w:r w:rsidRPr="0014035D">
        <w:rPr>
          <w:lang w:val="ru-RU"/>
        </w:rPr>
        <w:t xml:space="preserve"> с исключением затрат на перебазировку, учтенных в стоимости сметного машино-часа</w:t>
      </w:r>
      <w:r w:rsidR="007B4161" w:rsidRPr="0014035D">
        <w:rPr>
          <w:lang w:val="ru-RU"/>
        </w:rPr>
        <w:t xml:space="preserve"> (в размере 5% от общей стоимости эк</w:t>
      </w:r>
      <w:r w:rsidR="00A21A7E" w:rsidRPr="0014035D">
        <w:rPr>
          <w:lang w:val="ru-RU"/>
        </w:rPr>
        <w:t>сплуатации механизмов по сметам</w:t>
      </w:r>
      <w:r w:rsidR="007B4161" w:rsidRPr="0014035D">
        <w:rPr>
          <w:lang w:val="ru-RU"/>
        </w:rPr>
        <w:t>)</w:t>
      </w:r>
      <w:r w:rsidR="002D4AC0" w:rsidRPr="0014035D">
        <w:rPr>
          <w:lang w:val="ru-RU"/>
        </w:rPr>
        <w:t xml:space="preserve">. </w:t>
      </w:r>
      <w:r w:rsidR="00AE76CB" w:rsidRPr="0014035D">
        <w:rPr>
          <w:lang w:val="ru-RU"/>
        </w:rPr>
        <w:t>Расстояние перебазировки подтверждается транспортной схемой, согласованной Заказчиком. При приемке выполненных работ Перебазировка подтверждается данными системы ГЛОНАСС в Службу безопасности Заказчика, товарно-транспортными накладными, путевыми листами.</w:t>
      </w:r>
    </w:p>
    <w:p w:rsidR="004743E7" w:rsidRPr="0014035D" w:rsidRDefault="004743E7" w:rsidP="00864926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14035D">
        <w:rPr>
          <w:lang w:val="ru-RU"/>
        </w:rPr>
        <w:t xml:space="preserve"> Коммерческое предложение и сметные расчеты необходимо предоставить в </w:t>
      </w:r>
      <w:proofErr w:type="gramStart"/>
      <w:r w:rsidRPr="0014035D">
        <w:rPr>
          <w:lang w:val="ru-RU"/>
        </w:rPr>
        <w:t>формате  Excel</w:t>
      </w:r>
      <w:proofErr w:type="gramEnd"/>
      <w:r w:rsidRPr="0014035D">
        <w:rPr>
          <w:lang w:val="ru-RU"/>
        </w:rPr>
        <w:t xml:space="preserve"> и ГРАНД-СМЕТА.</w:t>
      </w:r>
    </w:p>
    <w:p w:rsidR="004743E7" w:rsidRDefault="004743E7" w:rsidP="004743E7">
      <w:pPr>
        <w:spacing w:after="633"/>
        <w:ind w:left="768"/>
        <w:rPr>
          <w:lang w:val="ru-RU"/>
        </w:rPr>
      </w:pPr>
    </w:p>
    <w:p w:rsidR="00047983" w:rsidRDefault="00047983">
      <w:pPr>
        <w:spacing w:after="633"/>
        <w:ind w:left="768" w:right="31"/>
        <w:rPr>
          <w:lang w:val="ru-RU"/>
        </w:rPr>
      </w:pPr>
    </w:p>
    <w:p w:rsidR="00047983" w:rsidRDefault="00047983">
      <w:pPr>
        <w:spacing w:after="633"/>
        <w:ind w:left="768" w:right="31"/>
        <w:rPr>
          <w:lang w:val="ru-RU"/>
        </w:rPr>
      </w:pPr>
    </w:p>
    <w:p w:rsidR="00047983" w:rsidRDefault="00047983">
      <w:pPr>
        <w:spacing w:after="633"/>
        <w:ind w:left="768" w:right="31"/>
        <w:rPr>
          <w:lang w:val="ru-RU"/>
        </w:rPr>
      </w:pPr>
    </w:p>
    <w:p w:rsidR="00047983" w:rsidRPr="000E184A" w:rsidRDefault="00047983">
      <w:pPr>
        <w:spacing w:after="633"/>
        <w:ind w:left="768" w:right="31"/>
        <w:rPr>
          <w:lang w:val="ru-RU"/>
        </w:rPr>
      </w:pPr>
    </w:p>
    <w:sectPr w:rsidR="00047983" w:rsidRPr="000E184A" w:rsidSect="00174849">
      <w:pgSz w:w="11909" w:h="16841"/>
      <w:pgMar w:top="602" w:right="921" w:bottom="11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" o:bullet="t">
        <v:imagedata r:id="rId1" o:title=""/>
      </v:shape>
    </w:pict>
  </w:numPicBullet>
  <w:abstractNum w:abstractNumId="0" w15:restartNumberingAfterBreak="0">
    <w:nsid w:val="004D3A8C"/>
    <w:multiLevelType w:val="hybridMultilevel"/>
    <w:tmpl w:val="8F2883FC"/>
    <w:lvl w:ilvl="0" w:tplc="CFBE3E66">
      <w:start w:val="1"/>
      <w:numFmt w:val="decimal"/>
      <w:lvlText w:val="%1.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498DC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8F03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C0F40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29F6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CED4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04A12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ABDE2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17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BB49F7"/>
    <w:multiLevelType w:val="hybridMultilevel"/>
    <w:tmpl w:val="8AA68DC6"/>
    <w:lvl w:ilvl="0" w:tplc="C0005970">
      <w:start w:val="3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226AE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148526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F6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14CD5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26990C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62981C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2C16E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C0A0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C73BA9"/>
    <w:multiLevelType w:val="hybridMultilevel"/>
    <w:tmpl w:val="7CFAFF9C"/>
    <w:lvl w:ilvl="0" w:tplc="1A209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2E6FEB"/>
    <w:multiLevelType w:val="hybridMultilevel"/>
    <w:tmpl w:val="959C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D5"/>
    <w:rsid w:val="00046B98"/>
    <w:rsid w:val="00047983"/>
    <w:rsid w:val="000E184A"/>
    <w:rsid w:val="0014035D"/>
    <w:rsid w:val="00174849"/>
    <w:rsid w:val="00230796"/>
    <w:rsid w:val="002D4AC0"/>
    <w:rsid w:val="00341E3E"/>
    <w:rsid w:val="003C4F90"/>
    <w:rsid w:val="00403BF1"/>
    <w:rsid w:val="00406CA5"/>
    <w:rsid w:val="00435C7B"/>
    <w:rsid w:val="004743E7"/>
    <w:rsid w:val="004C027F"/>
    <w:rsid w:val="004D0336"/>
    <w:rsid w:val="00557877"/>
    <w:rsid w:val="0067356B"/>
    <w:rsid w:val="006A6EA1"/>
    <w:rsid w:val="00754F0F"/>
    <w:rsid w:val="00764802"/>
    <w:rsid w:val="007856F5"/>
    <w:rsid w:val="007B4161"/>
    <w:rsid w:val="007B43A1"/>
    <w:rsid w:val="00840DD5"/>
    <w:rsid w:val="00864926"/>
    <w:rsid w:val="00983E22"/>
    <w:rsid w:val="009A380A"/>
    <w:rsid w:val="009F7049"/>
    <w:rsid w:val="00A21A7E"/>
    <w:rsid w:val="00A27068"/>
    <w:rsid w:val="00AE76CB"/>
    <w:rsid w:val="00B3333C"/>
    <w:rsid w:val="00C15CE2"/>
    <w:rsid w:val="00D13C6F"/>
    <w:rsid w:val="00D904D8"/>
    <w:rsid w:val="00E0694C"/>
    <w:rsid w:val="00F337A7"/>
    <w:rsid w:val="00F57EE6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9BB695"/>
  <w15:docId w15:val="{89746470-A899-4E37-90C1-29DF25B9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1" w:lineRule="auto"/>
      <w:ind w:left="783" w:hanging="356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856F5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Апанина Анастасия Александровная</cp:lastModifiedBy>
  <cp:revision>8</cp:revision>
  <cp:lastPrinted>2021-05-17T11:12:00Z</cp:lastPrinted>
  <dcterms:created xsi:type="dcterms:W3CDTF">2021-12-02T11:28:00Z</dcterms:created>
  <dcterms:modified xsi:type="dcterms:W3CDTF">2025-01-16T12:41:00Z</dcterms:modified>
</cp:coreProperties>
</file>